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AC4B2" w14:textId="77777777" w:rsidR="00325F8E" w:rsidRPr="00325F8E" w:rsidRDefault="00325F8E" w:rsidP="00325F8E">
      <w:pPr>
        <w:jc w:val="both"/>
        <w:rPr>
          <w:rFonts w:ascii="Palatino Linotype" w:hAnsi="Palatino Linotype"/>
          <w:sz w:val="24"/>
          <w:szCs w:val="24"/>
        </w:rPr>
      </w:pPr>
      <w:r w:rsidRPr="00325F8E">
        <w:rPr>
          <w:rFonts w:ascii="Palatino Linotype" w:hAnsi="Palatino Linotype"/>
          <w:sz w:val="24"/>
          <w:szCs w:val="24"/>
        </w:rPr>
        <w:t xml:space="preserve">Prof. Tran </w:t>
      </w:r>
      <w:proofErr w:type="spellStart"/>
      <w:r w:rsidRPr="00325F8E">
        <w:rPr>
          <w:rFonts w:ascii="Palatino Linotype" w:hAnsi="Palatino Linotype"/>
          <w:sz w:val="24"/>
          <w:szCs w:val="24"/>
        </w:rPr>
        <w:t>Thi</w:t>
      </w:r>
      <w:proofErr w:type="spellEnd"/>
      <w:r w:rsidRPr="00325F8E">
        <w:rPr>
          <w:rFonts w:ascii="Palatino Linotype" w:hAnsi="Palatino Linotype"/>
          <w:sz w:val="24"/>
          <w:szCs w:val="24"/>
        </w:rPr>
        <w:t xml:space="preserve"> Ly</w:t>
      </w:r>
    </w:p>
    <w:p w14:paraId="68A8DB2B" w14:textId="77777777" w:rsidR="00325F8E" w:rsidRPr="00325F8E" w:rsidRDefault="00325F8E" w:rsidP="00325F8E">
      <w:pPr>
        <w:jc w:val="both"/>
        <w:rPr>
          <w:rFonts w:ascii="Palatino Linotype" w:hAnsi="Palatino Linotype"/>
          <w:caps/>
          <w:color w:val="D97706"/>
          <w:spacing w:val="12"/>
          <w:sz w:val="24"/>
          <w:szCs w:val="24"/>
        </w:rPr>
      </w:pPr>
      <w:r w:rsidRPr="00325F8E">
        <w:rPr>
          <w:rFonts w:ascii="Palatino Linotype" w:hAnsi="Palatino Linotype"/>
          <w:caps/>
          <w:color w:val="D97706"/>
          <w:spacing w:val="12"/>
          <w:sz w:val="24"/>
          <w:szCs w:val="24"/>
        </w:rPr>
        <w:t>Deakin University</w:t>
      </w:r>
    </w:p>
    <w:p w14:paraId="0F2B917E" w14:textId="099B1753" w:rsidR="00325F8E" w:rsidRPr="00325F8E" w:rsidRDefault="00325F8E" w:rsidP="00325F8E">
      <w:pPr>
        <w:jc w:val="both"/>
        <w:rPr>
          <w:rFonts w:ascii="Palatino Linotype" w:hAnsi="Palatino Linotype"/>
          <w:i/>
          <w:iCs/>
          <w:color w:val="1F2937"/>
          <w:sz w:val="24"/>
          <w:szCs w:val="24"/>
        </w:rPr>
      </w:pPr>
      <w:r w:rsidRPr="00325F8E">
        <w:rPr>
          <w:rFonts w:ascii="Palatino Linotype" w:hAnsi="Palatino Linotype"/>
          <w:caps/>
          <w:color w:val="94A3B8"/>
          <w:spacing w:val="24"/>
          <w:sz w:val="24"/>
          <w:szCs w:val="24"/>
        </w:rPr>
        <w:t>Keynote Topic</w:t>
      </w:r>
      <w:r w:rsidRPr="00325F8E">
        <w:rPr>
          <w:rFonts w:ascii="Palatino Linotype" w:hAnsi="Palatino Linotype"/>
          <w:caps/>
          <w:color w:val="94A3B8"/>
          <w:spacing w:val="24"/>
          <w:sz w:val="24"/>
          <w:szCs w:val="24"/>
        </w:rPr>
        <w:t xml:space="preserve">: </w:t>
      </w:r>
      <w:r w:rsidRPr="00325F8E">
        <w:rPr>
          <w:rFonts w:ascii="Palatino Linotype" w:hAnsi="Palatino Linotype"/>
          <w:i/>
          <w:iCs/>
          <w:color w:val="1F2937"/>
          <w:sz w:val="24"/>
          <w:szCs w:val="24"/>
        </w:rPr>
        <w:t>"Educational Research for Impact"</w:t>
      </w:r>
    </w:p>
    <w:p w14:paraId="30DFBC37" w14:textId="77777777" w:rsidR="00325F8E" w:rsidRPr="00325F8E" w:rsidRDefault="00325F8E" w:rsidP="00325F8E">
      <w:pPr>
        <w:jc w:val="both"/>
        <w:rPr>
          <w:rFonts w:ascii="Palatino Linotype" w:hAnsi="Palatino Linotype"/>
          <w:sz w:val="24"/>
          <w:szCs w:val="24"/>
        </w:rPr>
      </w:pPr>
      <w:r w:rsidRPr="00325F8E">
        <w:rPr>
          <w:rFonts w:ascii="Palatino Linotype" w:hAnsi="Palatino Linotype"/>
          <w:sz w:val="24"/>
          <w:szCs w:val="24"/>
        </w:rPr>
        <w:t>ABSTRACT</w:t>
      </w:r>
    </w:p>
    <w:p w14:paraId="76688ADC" w14:textId="569F1B1B" w:rsidR="00325F8E" w:rsidRPr="00325F8E" w:rsidRDefault="00325F8E" w:rsidP="00325F8E">
      <w:pPr>
        <w:jc w:val="both"/>
        <w:rPr>
          <w:rFonts w:ascii="Palatino Linotype" w:hAnsi="Palatino Linotype"/>
          <w:sz w:val="24"/>
          <w:szCs w:val="24"/>
        </w:rPr>
      </w:pPr>
      <w:r w:rsidRPr="00325F8E">
        <w:rPr>
          <w:rFonts w:ascii="Palatino Linotype" w:hAnsi="Palatino Linotype"/>
          <w:sz w:val="24"/>
          <w:szCs w:val="24"/>
        </w:rPr>
        <w:t xml:space="preserve">In an era of intensified global connectivity, rapid digital transformation, and heightened geopolitical and societal uncertainty, the </w:t>
      </w:r>
      <w:proofErr w:type="spellStart"/>
      <w:r w:rsidRPr="00325F8E">
        <w:rPr>
          <w:rFonts w:ascii="Palatino Linotype" w:hAnsi="Palatino Linotype"/>
          <w:sz w:val="24"/>
          <w:szCs w:val="24"/>
        </w:rPr>
        <w:t>internationalisation</w:t>
      </w:r>
      <w:proofErr w:type="spellEnd"/>
      <w:r w:rsidRPr="00325F8E">
        <w:rPr>
          <w:rFonts w:ascii="Palatino Linotype" w:hAnsi="Palatino Linotype"/>
          <w:sz w:val="24"/>
          <w:szCs w:val="24"/>
        </w:rPr>
        <w:t xml:space="preserve"> of higher education is increasingly expected to deliver demonstrable benefits for learners, institutions, and societies. This keynote, </w:t>
      </w:r>
      <w:r w:rsidRPr="00403026">
        <w:rPr>
          <w:rStyle w:val="Strong"/>
          <w:rFonts w:ascii="Palatino Linotype" w:hAnsi="Palatino Linotype"/>
          <w:b w:val="0"/>
          <w:bCs w:val="0"/>
          <w:sz w:val="24"/>
          <w:szCs w:val="24"/>
        </w:rPr>
        <w:t>“Educational Research for Impact,”</w:t>
      </w:r>
      <w:r w:rsidRPr="00325F8E">
        <w:rPr>
          <w:rFonts w:ascii="Palatino Linotype" w:hAnsi="Palatino Linotype"/>
          <w:sz w:val="24"/>
          <w:szCs w:val="24"/>
        </w:rPr>
        <w:t xml:space="preserve"> advances an impact-oriented agenda for educational research in international higher education—one that moves beyond activity-based metrics (e.g., mobility counts, partnership numbers) to interrogate how </w:t>
      </w:r>
      <w:proofErr w:type="spellStart"/>
      <w:r w:rsidRPr="00325F8E">
        <w:rPr>
          <w:rFonts w:ascii="Palatino Linotype" w:hAnsi="Palatino Linotype"/>
          <w:sz w:val="24"/>
          <w:szCs w:val="24"/>
        </w:rPr>
        <w:t>internationalisation</w:t>
      </w:r>
      <w:proofErr w:type="spellEnd"/>
      <w:r w:rsidRPr="00325F8E">
        <w:rPr>
          <w:rFonts w:ascii="Palatino Linotype" w:hAnsi="Palatino Linotype"/>
          <w:sz w:val="24"/>
          <w:szCs w:val="24"/>
        </w:rPr>
        <w:t xml:space="preserve"> produces (or constrains) equity, capability development, and sustainable outcomes.</w:t>
      </w:r>
    </w:p>
    <w:p w14:paraId="23A421C5" w14:textId="77777777" w:rsidR="00325F8E" w:rsidRPr="00325F8E" w:rsidRDefault="00325F8E" w:rsidP="00325F8E">
      <w:pPr>
        <w:jc w:val="both"/>
        <w:rPr>
          <w:rFonts w:ascii="Palatino Linotype" w:hAnsi="Palatino Linotype"/>
          <w:sz w:val="24"/>
          <w:szCs w:val="24"/>
        </w:rPr>
      </w:pPr>
      <w:r w:rsidRPr="00325F8E">
        <w:rPr>
          <w:rFonts w:ascii="Palatino Linotype" w:hAnsi="Palatino Linotype"/>
          <w:sz w:val="24"/>
          <w:szCs w:val="24"/>
        </w:rPr>
        <w:t xml:space="preserve">Grounded in a program of scholarship on </w:t>
      </w:r>
      <w:r w:rsidRPr="00403026">
        <w:rPr>
          <w:rStyle w:val="Strong"/>
          <w:rFonts w:ascii="Palatino Linotype" w:hAnsi="Palatino Linotype"/>
          <w:b w:val="0"/>
          <w:bCs w:val="0"/>
          <w:sz w:val="24"/>
          <w:szCs w:val="24"/>
        </w:rPr>
        <w:t>international student experiences</w:t>
      </w:r>
      <w:r w:rsidRPr="00403026">
        <w:rPr>
          <w:rFonts w:ascii="Palatino Linotype" w:hAnsi="Palatino Linotype"/>
          <w:b/>
          <w:bCs/>
          <w:sz w:val="24"/>
          <w:szCs w:val="24"/>
        </w:rPr>
        <w:t xml:space="preserve">, </w:t>
      </w:r>
      <w:r w:rsidRPr="00403026">
        <w:rPr>
          <w:rStyle w:val="Strong"/>
          <w:rFonts w:ascii="Palatino Linotype" w:hAnsi="Palatino Linotype"/>
          <w:b w:val="0"/>
          <w:bCs w:val="0"/>
          <w:sz w:val="24"/>
          <w:szCs w:val="24"/>
        </w:rPr>
        <w:t>graduate employability</w:t>
      </w:r>
      <w:r w:rsidRPr="00403026">
        <w:rPr>
          <w:rFonts w:ascii="Palatino Linotype" w:hAnsi="Palatino Linotype"/>
          <w:b/>
          <w:bCs/>
          <w:sz w:val="24"/>
          <w:szCs w:val="24"/>
        </w:rPr>
        <w:t xml:space="preserve">, </w:t>
      </w:r>
      <w:r w:rsidRPr="00403026">
        <w:rPr>
          <w:rStyle w:val="Strong"/>
          <w:rFonts w:ascii="Palatino Linotype" w:hAnsi="Palatino Linotype"/>
          <w:b w:val="0"/>
          <w:bCs w:val="0"/>
          <w:sz w:val="24"/>
          <w:szCs w:val="24"/>
        </w:rPr>
        <w:t>student and staff mobilities</w:t>
      </w:r>
      <w:r w:rsidRPr="00403026">
        <w:rPr>
          <w:rFonts w:ascii="Palatino Linotype" w:hAnsi="Palatino Linotype"/>
          <w:b/>
          <w:bCs/>
          <w:sz w:val="24"/>
          <w:szCs w:val="24"/>
        </w:rPr>
        <w:t>,</w:t>
      </w:r>
      <w:r w:rsidRPr="00325F8E">
        <w:rPr>
          <w:rFonts w:ascii="Palatino Linotype" w:hAnsi="Palatino Linotype"/>
          <w:sz w:val="24"/>
          <w:szCs w:val="24"/>
        </w:rPr>
        <w:t xml:space="preserve"> and the </w:t>
      </w:r>
      <w:r w:rsidRPr="00403026">
        <w:rPr>
          <w:rStyle w:val="Strong"/>
          <w:rFonts w:ascii="Palatino Linotype" w:hAnsi="Palatino Linotype"/>
          <w:b w:val="0"/>
          <w:bCs w:val="0"/>
          <w:sz w:val="24"/>
          <w:szCs w:val="24"/>
        </w:rPr>
        <w:t>education–migration nexus</w:t>
      </w:r>
      <w:r w:rsidRPr="00403026">
        <w:rPr>
          <w:rFonts w:ascii="Palatino Linotype" w:hAnsi="Palatino Linotype"/>
          <w:b/>
          <w:bCs/>
          <w:sz w:val="24"/>
          <w:szCs w:val="24"/>
        </w:rPr>
        <w:t>,</w:t>
      </w:r>
      <w:r w:rsidRPr="00325F8E">
        <w:rPr>
          <w:rFonts w:ascii="Palatino Linotype" w:hAnsi="Palatino Linotype"/>
          <w:sz w:val="24"/>
          <w:szCs w:val="24"/>
        </w:rPr>
        <w:t xml:space="preserve"> the keynote </w:t>
      </w:r>
      <w:proofErr w:type="spellStart"/>
      <w:r w:rsidRPr="00325F8E">
        <w:rPr>
          <w:rFonts w:ascii="Palatino Linotype" w:hAnsi="Palatino Linotype"/>
          <w:sz w:val="24"/>
          <w:szCs w:val="24"/>
        </w:rPr>
        <w:t>synthesises</w:t>
      </w:r>
      <w:proofErr w:type="spellEnd"/>
      <w:r w:rsidRPr="00325F8E">
        <w:rPr>
          <w:rFonts w:ascii="Palatino Linotype" w:hAnsi="Palatino Linotype"/>
          <w:sz w:val="24"/>
          <w:szCs w:val="24"/>
        </w:rPr>
        <w:t xml:space="preserve"> key conceptual and empirical insights from research on post-study work and migration-oriented policy settings, intercultural interaction and stratification, workplace learning and agency, and the politics of English-medium instruction (EMI) in </w:t>
      </w:r>
      <w:proofErr w:type="spellStart"/>
      <w:r w:rsidRPr="00325F8E">
        <w:rPr>
          <w:rFonts w:ascii="Palatino Linotype" w:hAnsi="Palatino Linotype"/>
          <w:sz w:val="24"/>
          <w:szCs w:val="24"/>
        </w:rPr>
        <w:t>internationalising</w:t>
      </w:r>
      <w:proofErr w:type="spellEnd"/>
      <w:r w:rsidRPr="00325F8E">
        <w:rPr>
          <w:rFonts w:ascii="Palatino Linotype" w:hAnsi="Palatino Linotype"/>
          <w:sz w:val="24"/>
          <w:szCs w:val="24"/>
        </w:rPr>
        <w:t xml:space="preserve"> systems. Evidence from policy analysis and qualitative studies demonstrates how international education is shaped by structural conditions—such as </w:t>
      </w:r>
      <w:proofErr w:type="spellStart"/>
      <w:r w:rsidRPr="00325F8E">
        <w:rPr>
          <w:rFonts w:ascii="Palatino Linotype" w:hAnsi="Palatino Linotype"/>
          <w:sz w:val="24"/>
          <w:szCs w:val="24"/>
        </w:rPr>
        <w:t>labour</w:t>
      </w:r>
      <w:proofErr w:type="spellEnd"/>
      <w:r w:rsidRPr="00325F8E">
        <w:rPr>
          <w:rFonts w:ascii="Palatino Linotype" w:hAnsi="Palatino Linotype"/>
          <w:sz w:val="24"/>
          <w:szCs w:val="24"/>
        </w:rPr>
        <w:t xml:space="preserve"> markets, migration regimes, language ideologies, and institutional cultures—that differentially distribute opportunities and recognition. For example, research on post-study work illustrates how policy promises of employability and “return on investment” operate alongside ethical tensions and uneven graduate outcomes, calling for research that can inform both recruitment agendas and social responsibility commitments. Intercultural engagement is further </w:t>
      </w:r>
      <w:proofErr w:type="spellStart"/>
      <w:r w:rsidRPr="00325F8E">
        <w:rPr>
          <w:rFonts w:ascii="Palatino Linotype" w:hAnsi="Palatino Linotype"/>
          <w:sz w:val="24"/>
          <w:szCs w:val="24"/>
        </w:rPr>
        <w:t>theorised</w:t>
      </w:r>
      <w:proofErr w:type="spellEnd"/>
      <w:r w:rsidRPr="00325F8E">
        <w:rPr>
          <w:rFonts w:ascii="Palatino Linotype" w:hAnsi="Palatino Linotype"/>
          <w:sz w:val="24"/>
          <w:szCs w:val="24"/>
        </w:rPr>
        <w:t xml:space="preserve"> as a form of </w:t>
      </w:r>
      <w:r w:rsidRPr="00403026">
        <w:rPr>
          <w:rStyle w:val="Strong"/>
          <w:rFonts w:ascii="Palatino Linotype" w:hAnsi="Palatino Linotype"/>
          <w:b w:val="0"/>
          <w:bCs w:val="0"/>
          <w:sz w:val="24"/>
          <w:szCs w:val="24"/>
        </w:rPr>
        <w:t>symbolic capital</w:t>
      </w:r>
      <w:r w:rsidRPr="00325F8E">
        <w:rPr>
          <w:rFonts w:ascii="Palatino Linotype" w:hAnsi="Palatino Linotype"/>
          <w:sz w:val="24"/>
          <w:szCs w:val="24"/>
        </w:rPr>
        <w:t>, whereby language and cultural norms can become mechanisms of social differentiation, underscoring the need for research designs that surface hidden hierarchies in “</w:t>
      </w:r>
      <w:proofErr w:type="spellStart"/>
      <w:r w:rsidRPr="00325F8E">
        <w:rPr>
          <w:rFonts w:ascii="Palatino Linotype" w:hAnsi="Palatino Linotype"/>
          <w:sz w:val="24"/>
          <w:szCs w:val="24"/>
        </w:rPr>
        <w:t>internationalised</w:t>
      </w:r>
      <w:proofErr w:type="spellEnd"/>
      <w:r w:rsidRPr="00325F8E">
        <w:rPr>
          <w:rFonts w:ascii="Palatino Linotype" w:hAnsi="Palatino Linotype"/>
          <w:sz w:val="24"/>
          <w:szCs w:val="24"/>
        </w:rPr>
        <w:t xml:space="preserve">” learning environments. Studies of workplace learning similarly reveal how international students navigate inequities while exercising agency within constrained training and employment ecosystems. Work on EMI and </w:t>
      </w:r>
      <w:proofErr w:type="spellStart"/>
      <w:r w:rsidRPr="00325F8E">
        <w:rPr>
          <w:rFonts w:ascii="Palatino Linotype" w:hAnsi="Palatino Linotype"/>
          <w:sz w:val="24"/>
          <w:szCs w:val="24"/>
        </w:rPr>
        <w:t>internationalisation</w:t>
      </w:r>
      <w:proofErr w:type="spellEnd"/>
      <w:r w:rsidRPr="00325F8E">
        <w:rPr>
          <w:rFonts w:ascii="Palatino Linotype" w:hAnsi="Palatino Linotype"/>
          <w:sz w:val="24"/>
          <w:szCs w:val="24"/>
        </w:rPr>
        <w:t xml:space="preserve"> in Vietnam highlights policy tensions between global competitiveness and multilingual futures, pointing to the importance of context-sensitive research capable of informing language and curriculum policy at system and institutional levels. </w:t>
      </w:r>
    </w:p>
    <w:p w14:paraId="6AB0422E" w14:textId="77777777" w:rsidR="00325F8E" w:rsidRPr="00325F8E" w:rsidRDefault="00325F8E" w:rsidP="00325F8E">
      <w:pPr>
        <w:jc w:val="both"/>
        <w:rPr>
          <w:rFonts w:ascii="Palatino Linotype" w:hAnsi="Palatino Linotype"/>
          <w:sz w:val="24"/>
          <w:szCs w:val="24"/>
        </w:rPr>
      </w:pPr>
      <w:r w:rsidRPr="00325F8E">
        <w:rPr>
          <w:rFonts w:ascii="Palatino Linotype" w:hAnsi="Palatino Linotype"/>
          <w:sz w:val="24"/>
          <w:szCs w:val="24"/>
        </w:rPr>
        <w:lastRenderedPageBreak/>
        <w:t xml:space="preserve">Aligned with the </w:t>
      </w:r>
      <w:r w:rsidRPr="00325F8E">
        <w:rPr>
          <w:rStyle w:val="Strong"/>
          <w:rFonts w:ascii="Palatino Linotype" w:hAnsi="Palatino Linotype"/>
          <w:sz w:val="24"/>
          <w:szCs w:val="24"/>
        </w:rPr>
        <w:t xml:space="preserve">2nd International Conference on </w:t>
      </w:r>
      <w:proofErr w:type="spellStart"/>
      <w:r w:rsidRPr="00325F8E">
        <w:rPr>
          <w:rStyle w:val="Strong"/>
          <w:rFonts w:ascii="Palatino Linotype" w:hAnsi="Palatino Linotype"/>
          <w:sz w:val="24"/>
          <w:szCs w:val="24"/>
        </w:rPr>
        <w:t>Internationalisation</w:t>
      </w:r>
      <w:proofErr w:type="spellEnd"/>
      <w:r w:rsidRPr="00325F8E">
        <w:rPr>
          <w:rStyle w:val="Strong"/>
          <w:rFonts w:ascii="Palatino Linotype" w:hAnsi="Palatino Linotype"/>
          <w:sz w:val="24"/>
          <w:szCs w:val="24"/>
        </w:rPr>
        <w:t xml:space="preserve"> and Sustainable Development in Higher Education</w:t>
      </w:r>
      <w:r w:rsidRPr="00325F8E">
        <w:rPr>
          <w:rFonts w:ascii="Palatino Linotype" w:hAnsi="Palatino Linotype"/>
          <w:sz w:val="24"/>
          <w:szCs w:val="24"/>
        </w:rPr>
        <w:t xml:space="preserve"> (co-</w:t>
      </w:r>
      <w:proofErr w:type="spellStart"/>
      <w:r w:rsidRPr="00325F8E">
        <w:rPr>
          <w:rFonts w:ascii="Palatino Linotype" w:hAnsi="Palatino Linotype"/>
          <w:sz w:val="24"/>
          <w:szCs w:val="24"/>
        </w:rPr>
        <w:t>organised</w:t>
      </w:r>
      <w:proofErr w:type="spellEnd"/>
      <w:r w:rsidRPr="00325F8E">
        <w:rPr>
          <w:rFonts w:ascii="Palatino Linotype" w:hAnsi="Palatino Linotype"/>
          <w:sz w:val="24"/>
          <w:szCs w:val="24"/>
        </w:rPr>
        <w:t xml:space="preserve"> by Vietnam Japan University—VNU, Deakin University, and </w:t>
      </w:r>
      <w:proofErr w:type="spellStart"/>
      <w:r w:rsidRPr="00325F8E">
        <w:rPr>
          <w:rFonts w:ascii="Palatino Linotype" w:hAnsi="Palatino Linotype"/>
          <w:sz w:val="24"/>
          <w:szCs w:val="24"/>
        </w:rPr>
        <w:t>Waseda</w:t>
      </w:r>
      <w:proofErr w:type="spellEnd"/>
      <w:r w:rsidRPr="00325F8E">
        <w:rPr>
          <w:rFonts w:ascii="Palatino Linotype" w:hAnsi="Palatino Linotype"/>
          <w:sz w:val="24"/>
          <w:szCs w:val="24"/>
        </w:rPr>
        <w:t xml:space="preserve"> University), the keynote proposes a practical framework for impact-oriented educational research in </w:t>
      </w:r>
      <w:proofErr w:type="spellStart"/>
      <w:r w:rsidRPr="00325F8E">
        <w:rPr>
          <w:rFonts w:ascii="Palatino Linotype" w:hAnsi="Palatino Linotype"/>
          <w:sz w:val="24"/>
          <w:szCs w:val="24"/>
        </w:rPr>
        <w:t>internationalisation</w:t>
      </w:r>
      <w:proofErr w:type="spellEnd"/>
      <w:r w:rsidRPr="00325F8E">
        <w:rPr>
          <w:rFonts w:ascii="Palatino Linotype" w:hAnsi="Palatino Linotype"/>
          <w:sz w:val="24"/>
          <w:szCs w:val="24"/>
        </w:rPr>
        <w:t>. It outlines (</w:t>
      </w:r>
      <w:proofErr w:type="spellStart"/>
      <w:r w:rsidRPr="00325F8E">
        <w:rPr>
          <w:rFonts w:ascii="Palatino Linotype" w:hAnsi="Palatino Linotype"/>
          <w:sz w:val="24"/>
          <w:szCs w:val="24"/>
        </w:rPr>
        <w:t>i</w:t>
      </w:r>
      <w:proofErr w:type="spellEnd"/>
      <w:r w:rsidRPr="00325F8E">
        <w:rPr>
          <w:rFonts w:ascii="Palatino Linotype" w:hAnsi="Palatino Linotype"/>
          <w:sz w:val="24"/>
          <w:szCs w:val="24"/>
        </w:rPr>
        <w:t xml:space="preserve">) how to </w:t>
      </w:r>
      <w:proofErr w:type="spellStart"/>
      <w:r w:rsidRPr="00325F8E">
        <w:rPr>
          <w:rFonts w:ascii="Palatino Linotype" w:hAnsi="Palatino Linotype"/>
          <w:sz w:val="24"/>
          <w:szCs w:val="24"/>
        </w:rPr>
        <w:t>conceptualise</w:t>
      </w:r>
      <w:proofErr w:type="spellEnd"/>
      <w:r w:rsidRPr="00325F8E">
        <w:rPr>
          <w:rFonts w:ascii="Palatino Linotype" w:hAnsi="Palatino Linotype"/>
          <w:sz w:val="24"/>
          <w:szCs w:val="24"/>
        </w:rPr>
        <w:t xml:space="preserve"> impact across micro (student outcomes), meso (institutional change), and macro (policy and societal) levels; (ii) how to strengthen methodological approaches for capturing complex, longer-term effects; and (iii) how to translate evidence into sustainable partnerships, inclusive student success, and contributions to the Sustainable Development Goals.</w:t>
      </w:r>
    </w:p>
    <w:p w14:paraId="06E7C0B9" w14:textId="77777777" w:rsidR="00325F8E" w:rsidRPr="00325F8E" w:rsidRDefault="00325F8E" w:rsidP="00325F8E">
      <w:pPr>
        <w:jc w:val="both"/>
        <w:rPr>
          <w:rFonts w:ascii="Palatino Linotype" w:hAnsi="Palatino Linotype"/>
          <w:sz w:val="24"/>
          <w:szCs w:val="24"/>
        </w:rPr>
      </w:pPr>
      <w:r w:rsidRPr="00325F8E">
        <w:rPr>
          <w:rStyle w:val="Strong"/>
          <w:rFonts w:ascii="Palatino Linotype" w:hAnsi="Palatino Linotype"/>
          <w:sz w:val="24"/>
          <w:szCs w:val="24"/>
        </w:rPr>
        <w:t>Keywords:</w:t>
      </w:r>
      <w:r w:rsidRPr="00325F8E">
        <w:rPr>
          <w:rFonts w:ascii="Palatino Linotype" w:hAnsi="Palatino Linotype"/>
          <w:sz w:val="24"/>
          <w:szCs w:val="24"/>
        </w:rPr>
        <w:t xml:space="preserve"> research impact; </w:t>
      </w:r>
      <w:proofErr w:type="spellStart"/>
      <w:r w:rsidRPr="00325F8E">
        <w:rPr>
          <w:rFonts w:ascii="Palatino Linotype" w:hAnsi="Palatino Linotype"/>
          <w:sz w:val="24"/>
          <w:szCs w:val="24"/>
        </w:rPr>
        <w:t>internationalisation</w:t>
      </w:r>
      <w:proofErr w:type="spellEnd"/>
      <w:r w:rsidRPr="00325F8E">
        <w:rPr>
          <w:rFonts w:ascii="Palatino Linotype" w:hAnsi="Palatino Linotype"/>
          <w:sz w:val="24"/>
          <w:szCs w:val="24"/>
        </w:rPr>
        <w:t xml:space="preserve"> of higher education; education–migration nexus; graduate employability; intercultural interaction; symbolic capital; workplace learning; English-medium instruction; </w:t>
      </w:r>
      <w:proofErr w:type="spellStart"/>
      <w:r w:rsidRPr="00325F8E">
        <w:rPr>
          <w:rFonts w:ascii="Palatino Linotype" w:hAnsi="Palatino Linotype"/>
          <w:sz w:val="24"/>
          <w:szCs w:val="24"/>
        </w:rPr>
        <w:t>digitalisation</w:t>
      </w:r>
      <w:proofErr w:type="spellEnd"/>
      <w:r w:rsidRPr="00325F8E">
        <w:rPr>
          <w:rFonts w:ascii="Palatino Linotype" w:hAnsi="Palatino Linotype"/>
          <w:sz w:val="24"/>
          <w:szCs w:val="24"/>
        </w:rPr>
        <w:t>; sustainable development.</w:t>
      </w:r>
    </w:p>
    <w:p w14:paraId="03D91CCD" w14:textId="39593F77" w:rsidR="00325F8E" w:rsidRPr="00325F8E" w:rsidRDefault="00325F8E" w:rsidP="00325F8E">
      <w:pPr>
        <w:jc w:val="both"/>
        <w:rPr>
          <w:rFonts w:ascii="Palatino Linotype" w:hAnsi="Palatino Linotype"/>
          <w:sz w:val="24"/>
          <w:szCs w:val="24"/>
        </w:rPr>
      </w:pPr>
      <w:r w:rsidRPr="00325F8E">
        <w:rPr>
          <w:rStyle w:val="Emphasis"/>
          <w:rFonts w:ascii="Palatino Linotype" w:hAnsi="Palatino Linotype"/>
          <w:sz w:val="24"/>
          <w:szCs w:val="24"/>
        </w:rPr>
        <w:t xml:space="preserve">(Presenter: Prof. Tran </w:t>
      </w:r>
      <w:proofErr w:type="spellStart"/>
      <w:r w:rsidRPr="00325F8E">
        <w:rPr>
          <w:rStyle w:val="Emphasis"/>
          <w:rFonts w:ascii="Palatino Linotype" w:hAnsi="Palatino Linotype"/>
          <w:sz w:val="24"/>
          <w:szCs w:val="24"/>
        </w:rPr>
        <w:t>Thi</w:t>
      </w:r>
      <w:proofErr w:type="spellEnd"/>
      <w:r w:rsidRPr="00325F8E">
        <w:rPr>
          <w:rStyle w:val="Emphasis"/>
          <w:rFonts w:ascii="Palatino Linotype" w:hAnsi="Palatino Linotype"/>
          <w:sz w:val="24"/>
          <w:szCs w:val="24"/>
        </w:rPr>
        <w:t xml:space="preserve"> Ly, Deakin University</w:t>
      </w:r>
      <w:r w:rsidRPr="00325F8E">
        <w:rPr>
          <w:rStyle w:val="Emphasis"/>
          <w:rFonts w:ascii="Palatino Linotype" w:hAnsi="Palatino Linotype"/>
          <w:sz w:val="24"/>
          <w:szCs w:val="24"/>
        </w:rPr>
        <w:t>)</w:t>
      </w:r>
    </w:p>
    <w:p w14:paraId="4E68674F" w14:textId="77777777" w:rsidR="00325F8E" w:rsidRPr="00325F8E" w:rsidRDefault="00325F8E" w:rsidP="00325F8E">
      <w:pPr>
        <w:jc w:val="both"/>
        <w:rPr>
          <w:rFonts w:ascii="Palatino Linotype" w:hAnsi="Palatino Linotype"/>
          <w:sz w:val="24"/>
          <w:szCs w:val="24"/>
        </w:rPr>
      </w:pPr>
    </w:p>
    <w:sectPr w:rsidR="00325F8E" w:rsidRPr="00325F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F8E"/>
    <w:rsid w:val="00325F8E"/>
    <w:rsid w:val="00403026"/>
    <w:rsid w:val="006F1123"/>
    <w:rsid w:val="00B76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9FB8C"/>
  <w15:chartTrackingRefBased/>
  <w15:docId w15:val="{685B304D-6E7C-426D-8CA2-2144395B2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25F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25F8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25F8E"/>
    <w:rPr>
      <w:rFonts w:ascii="Times New Roman" w:eastAsia="Times New Roman" w:hAnsi="Times New Roman" w:cs="Times New Roman"/>
      <w:b/>
      <w:bCs/>
      <w:sz w:val="27"/>
      <w:szCs w:val="27"/>
    </w:rPr>
  </w:style>
  <w:style w:type="paragraph" w:customStyle="1" w:styleId="text-amber-600">
    <w:name w:val="text-amber-600"/>
    <w:basedOn w:val="Normal"/>
    <w:rsid w:val="00325F8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10px">
    <w:name w:val="text-[10px]"/>
    <w:basedOn w:val="Normal"/>
    <w:rsid w:val="00325F8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gray-800">
    <w:name w:val="text-gray-800"/>
    <w:basedOn w:val="Normal"/>
    <w:rsid w:val="00325F8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gray-500">
    <w:name w:val="text-gray-500"/>
    <w:basedOn w:val="Normal"/>
    <w:rsid w:val="00325F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325F8E"/>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325F8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25F8E"/>
    <w:rPr>
      <w:b/>
      <w:bCs/>
    </w:rPr>
  </w:style>
  <w:style w:type="character" w:styleId="Emphasis">
    <w:name w:val="Emphasis"/>
    <w:basedOn w:val="DefaultParagraphFont"/>
    <w:uiPriority w:val="20"/>
    <w:qFormat/>
    <w:rsid w:val="00325F8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394907">
      <w:bodyDiv w:val="1"/>
      <w:marLeft w:val="0"/>
      <w:marRight w:val="0"/>
      <w:marTop w:val="0"/>
      <w:marBottom w:val="0"/>
      <w:divBdr>
        <w:top w:val="none" w:sz="0" w:space="0" w:color="auto"/>
        <w:left w:val="none" w:sz="0" w:space="0" w:color="auto"/>
        <w:bottom w:val="none" w:sz="0" w:space="0" w:color="auto"/>
        <w:right w:val="none" w:sz="0" w:space="0" w:color="auto"/>
      </w:divBdr>
    </w:div>
    <w:div w:id="1592161166">
      <w:bodyDiv w:val="1"/>
      <w:marLeft w:val="0"/>
      <w:marRight w:val="0"/>
      <w:marTop w:val="0"/>
      <w:marBottom w:val="0"/>
      <w:divBdr>
        <w:top w:val="none" w:sz="0" w:space="0" w:color="auto"/>
        <w:left w:val="none" w:sz="0" w:space="0" w:color="auto"/>
        <w:bottom w:val="none" w:sz="0" w:space="0" w:color="auto"/>
        <w:right w:val="none" w:sz="0" w:space="0" w:color="auto"/>
      </w:divBdr>
      <w:divsChild>
        <w:div w:id="1805810002">
          <w:marLeft w:val="0"/>
          <w:marRight w:val="0"/>
          <w:marTop w:val="0"/>
          <w:marBottom w:val="0"/>
          <w:divBdr>
            <w:top w:val="single" w:sz="2" w:space="0" w:color="E5E7EB"/>
            <w:left w:val="single" w:sz="2" w:space="0" w:color="E5E7EB"/>
            <w:bottom w:val="single" w:sz="2" w:space="0" w:color="E5E7EB"/>
            <w:right w:val="single" w:sz="2" w:space="0" w:color="E5E7EB"/>
          </w:divBdr>
        </w:div>
        <w:div w:id="1921598593">
          <w:marLeft w:val="0"/>
          <w:marRight w:val="0"/>
          <w:marTop w:val="0"/>
          <w:marBottom w:val="0"/>
          <w:divBdr>
            <w:top w:val="single" w:sz="2" w:space="0" w:color="1E3A8A"/>
            <w:left w:val="single" w:sz="24" w:space="0" w:color="1E3A8A"/>
            <w:bottom w:val="single" w:sz="2" w:space="0" w:color="1E3A8A"/>
            <w:right w:val="single" w:sz="2" w:space="0" w:color="1E3A8A"/>
          </w:divBdr>
        </w:div>
        <w:div w:id="83776536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521</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Huyen Nguyen</dc:creator>
  <cp:keywords/>
  <dc:description/>
  <cp:lastModifiedBy>Huyen Nguyen</cp:lastModifiedBy>
  <cp:revision>2</cp:revision>
  <dcterms:created xsi:type="dcterms:W3CDTF">2026-02-25T09:36:00Z</dcterms:created>
  <dcterms:modified xsi:type="dcterms:W3CDTF">2026-02-25T09:36:00Z</dcterms:modified>
</cp:coreProperties>
</file>